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EB" w:rsidRPr="00530740" w:rsidRDefault="00530740" w:rsidP="005307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proofErr w:type="spellStart"/>
      <w:r w:rsidRPr="00530740">
        <w:rPr>
          <w:rFonts w:asciiTheme="minorHAnsi" w:hAnsiTheme="minorHAnsi" w:cstheme="minorHAnsi"/>
          <w:b/>
          <w:iCs/>
          <w:sz w:val="22"/>
          <w:szCs w:val="22"/>
        </w:rPr>
        <w:t>Crolais</w:t>
      </w:r>
      <w:proofErr w:type="spellEnd"/>
      <w:r w:rsidRPr="00530740">
        <w:rPr>
          <w:rFonts w:asciiTheme="minorHAnsi" w:hAnsiTheme="minorHAnsi" w:cstheme="minorHAnsi"/>
          <w:b/>
          <w:iCs/>
          <w:sz w:val="22"/>
          <w:szCs w:val="22"/>
        </w:rPr>
        <w:t xml:space="preserve">, A., </w:t>
      </w:r>
      <w:proofErr w:type="spellStart"/>
      <w:r w:rsidRPr="00530740">
        <w:rPr>
          <w:rFonts w:asciiTheme="minorHAnsi" w:hAnsiTheme="minorHAnsi" w:cstheme="minorHAnsi"/>
          <w:b/>
          <w:iCs/>
          <w:sz w:val="22"/>
          <w:szCs w:val="22"/>
        </w:rPr>
        <w:t>Lebihain</w:t>
      </w:r>
      <w:proofErr w:type="spellEnd"/>
      <w:r w:rsidRPr="00530740">
        <w:rPr>
          <w:rFonts w:asciiTheme="minorHAnsi" w:hAnsiTheme="minorHAnsi" w:cstheme="minorHAnsi"/>
          <w:b/>
          <w:iCs/>
          <w:sz w:val="22"/>
          <w:szCs w:val="22"/>
        </w:rPr>
        <w:t xml:space="preserve">, M., Le Gal, A. et </w:t>
      </w:r>
      <w:proofErr w:type="spellStart"/>
      <w:r w:rsidRPr="00530740">
        <w:rPr>
          <w:rFonts w:asciiTheme="minorHAnsi" w:hAnsiTheme="minorHAnsi" w:cstheme="minorHAnsi"/>
          <w:b/>
          <w:iCs/>
          <w:sz w:val="22"/>
          <w:szCs w:val="22"/>
        </w:rPr>
        <w:t>Maysonnave</w:t>
      </w:r>
      <w:proofErr w:type="spellEnd"/>
      <w:r w:rsidRPr="00530740">
        <w:rPr>
          <w:rFonts w:asciiTheme="minorHAnsi" w:hAnsiTheme="minorHAnsi" w:cstheme="minorHAnsi"/>
          <w:b/>
          <w:iCs/>
          <w:sz w:val="22"/>
          <w:szCs w:val="22"/>
        </w:rPr>
        <w:t>, E. 2016.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53074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3074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L'or </w:t>
      </w:r>
      <w:r w:rsidR="00DB7DEB" w:rsidRPr="0053074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liquide, l'innovation sociotechnique en assainissement par la mise en synergie d'acteurs locaux : le cas de la collecte sélective des urines sur le plateau de Saclay. </w:t>
      </w:r>
      <w:r w:rsidR="00DB7DEB" w:rsidRPr="00530740">
        <w:rPr>
          <w:rFonts w:asciiTheme="minorHAnsi" w:hAnsiTheme="minorHAnsi" w:cstheme="minorHAnsi"/>
          <w:b/>
          <w:sz w:val="22"/>
          <w:szCs w:val="22"/>
        </w:rPr>
        <w:t>Rapport de Groupe d'Analyse de l'Action Publique. Mastère Politique et Action Publique pour le Développement Durable. Ecole nationale des ponts et chaussées.</w:t>
      </w:r>
    </w:p>
    <w:p w:rsidR="00DB7DEB" w:rsidRPr="00530740" w:rsidRDefault="00DB7DEB" w:rsidP="00530740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7DEB">
        <w:rPr>
          <w:rFonts w:asciiTheme="minorHAnsi" w:hAnsiTheme="minorHAnsi" w:cstheme="minorHAnsi"/>
          <w:color w:val="000000"/>
          <w:sz w:val="22"/>
          <w:szCs w:val="22"/>
        </w:rPr>
        <w:t>Dans le contexte de développement du Grand Paris, les contraintes qui pèsent sur l’assainissement vont être exacerbées, en particulier sur le traitement de l’azote dans les eaux usées. Des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>solutions innovantes et écologiques existent, comme la collecte sélective des urines à la source,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>qui pourrait faire l’objet d’un projet pilote au sein du cluster Paris-Saclay, aménagé par l’Etablissement public Paris Saclay (EPPS). Les urines collectées peuvent alors être valorisées en tant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>que fertilisant en agriculture grâce à leur forte teneur en éléments azotés et phosphorés. Si des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>expériences locales de collecte sélective des urines ont été concrétisées à l’étranger, des freins au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>déploiement d’un projet en France existent : acceptabilité des acteurs, relations de confiance,</w:t>
      </w:r>
      <w:r w:rsidR="005307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>problématiques économiques, sanitaires, réglementaires, techniques et agronomiques. La mise en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>synergie des acteurs pourrait passer par la création d’un observatoire en concertation avec la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>recherche, afin de fournir des garanties aux agriculteurs concernant le risque sanitaire et celui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>associé aux micropolluants tout en identifiant des produits adaptés à leurs pratiques, et assorti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>d’une gouvernance reflétant les différentes parties prenantes. Une démarche de conception collective par les acteurs pourrait permettre de répondre aux questions qui restent en suspens (choix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>du traitement des urines, nature des cultures fertilisées, répartition des responsabilités), pour ensuite organiser la chaîne technique de manière innovante. Plusieurs problématiques devront être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>levées, comme l’acceptation par les différentes parties prenantes impliquées (usagers, agriculteurs, riverains ou encore consommateurs), ainsi qu’une évolution réglementaire pour encadrer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>ce système d’assainissement écologiqu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t>e.</w:t>
      </w:r>
    </w:p>
    <w:bookmarkEnd w:id="0"/>
    <w:p w:rsidR="00530740" w:rsidRDefault="00530740">
      <w:pPr>
        <w:rPr>
          <w:rFonts w:eastAsia="Times New Roman" w:cstheme="minorHAnsi"/>
          <w:lang w:eastAsia="fr-FR"/>
        </w:rPr>
      </w:pPr>
      <w:r>
        <w:rPr>
          <w:rFonts w:cstheme="minorHAnsi"/>
        </w:rPr>
        <w:br w:type="page"/>
      </w:r>
    </w:p>
    <w:p w:rsidR="00DB7DEB" w:rsidRPr="00DB7DEB" w:rsidRDefault="00DB7DEB" w:rsidP="00DB7DEB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530740" w:rsidRDefault="00530740">
      <w:pPr>
        <w:rPr>
          <w:rFonts w:eastAsia="Times New Roman" w:cstheme="minorHAnsi"/>
          <w:color w:val="000000"/>
          <w:lang w:eastAsia="fr-FR"/>
        </w:rPr>
      </w:pPr>
      <w:r>
        <w:rPr>
          <w:rFonts w:cstheme="minorHAnsi"/>
          <w:color w:val="000000"/>
        </w:rPr>
        <w:br w:type="page"/>
      </w:r>
    </w:p>
    <w:p w:rsidR="00DB7DEB" w:rsidRPr="00DB7DEB" w:rsidRDefault="00DB7DEB" w:rsidP="0053074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DB7DEB" w:rsidRPr="00DB7DEB" w:rsidRDefault="00DB7DEB" w:rsidP="00DB7DEB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DB7DEB" w:rsidRPr="00DB7DEB" w:rsidRDefault="00DB7DEB">
      <w:pPr>
        <w:rPr>
          <w:rFonts w:eastAsia="Times New Roman" w:cstheme="minorHAnsi"/>
          <w:lang w:eastAsia="fr-FR"/>
        </w:rPr>
      </w:pPr>
      <w:r w:rsidRPr="00DB7DEB">
        <w:rPr>
          <w:rFonts w:cstheme="minorHAnsi"/>
        </w:rPr>
        <w:br w:type="page"/>
      </w:r>
    </w:p>
    <w:p w:rsidR="00530740" w:rsidRDefault="00530740">
      <w:pPr>
        <w:rPr>
          <w:rFonts w:eastAsia="Times New Roman" w:cstheme="minorHAnsi"/>
          <w:color w:val="000000"/>
          <w:lang w:eastAsia="fr-FR"/>
        </w:rPr>
      </w:pPr>
      <w:r>
        <w:rPr>
          <w:rFonts w:cstheme="minorHAnsi"/>
          <w:color w:val="000000"/>
        </w:rPr>
        <w:lastRenderedPageBreak/>
        <w:br w:type="page"/>
      </w:r>
    </w:p>
    <w:p w:rsidR="00DB7DEB" w:rsidRPr="00DB7DEB" w:rsidRDefault="00DB7DEB" w:rsidP="00530740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DB7DEB" w:rsidRPr="00DB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EB"/>
    <w:rsid w:val="00530740"/>
    <w:rsid w:val="00AF7DF0"/>
    <w:rsid w:val="00DB7DEB"/>
    <w:rsid w:val="00F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D722"/>
  <w15:chartTrackingRefBased/>
  <w15:docId w15:val="{F7996758-4157-4377-9B17-212BCDA3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7D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7DEB"/>
    <w:rPr>
      <w:b/>
      <w:bCs/>
    </w:rPr>
  </w:style>
  <w:style w:type="paragraph" w:customStyle="1" w:styleId="western">
    <w:name w:val="western"/>
    <w:basedOn w:val="Normal"/>
    <w:rsid w:val="00DB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B7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LEGRAND</dc:creator>
  <cp:keywords/>
  <dc:description/>
  <cp:lastModifiedBy>Marine LEGRAND</cp:lastModifiedBy>
  <cp:revision>1</cp:revision>
  <dcterms:created xsi:type="dcterms:W3CDTF">2018-06-27T15:11:00Z</dcterms:created>
  <dcterms:modified xsi:type="dcterms:W3CDTF">2018-06-27T15:40:00Z</dcterms:modified>
</cp:coreProperties>
</file>